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2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CD97C9">
      <w:pPr>
        <w:bidi w:val="0"/>
        <w:jc w:val="center"/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广州绎禾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生物科技有限公司产品目录</w:t>
      </w:r>
    </w:p>
    <w:p w14:paraId="60B2F227">
      <w:pPr>
        <w:bidi w:val="0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1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常规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测序及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分析项目</w:t>
      </w:r>
    </w:p>
    <w:p w14:paraId="4C00B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1.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转录组测序（有参、无参、lncRNA、原核）</w:t>
      </w:r>
    </w:p>
    <w:p w14:paraId="539DCE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1.2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蛋白质组测序（DDA定性/定量、DIA定量、翻译后修饰）</w:t>
      </w:r>
    </w:p>
    <w:p w14:paraId="680D9D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1.3 </w:t>
      </w:r>
      <w:r>
        <w:rPr>
          <w:rFonts w:hint="default" w:ascii="Times New Roman" w:hAnsi="Times New Roman" w:eastAsia="宋体" w:cs="Times New Roman"/>
          <w:sz w:val="24"/>
          <w:szCs w:val="24"/>
        </w:rPr>
        <w:t>代谢组检测（非靶向、靶向、广靶代谢组）</w:t>
      </w:r>
    </w:p>
    <w:p w14:paraId="6D709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宋体" w:cs="Times New Roman"/>
          <w:sz w:val="24"/>
          <w:szCs w:val="24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</w:rPr>
        <w:t>微生物组测序（扩增子16S、16S全长、18S、ITS）</w:t>
      </w:r>
    </w:p>
    <w:p w14:paraId="131D26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1.5 </w:t>
      </w:r>
      <w:r>
        <w:rPr>
          <w:rFonts w:hint="default" w:ascii="Times New Roman" w:hAnsi="Times New Roman" w:eastAsia="宋体" w:cs="Times New Roman"/>
          <w:sz w:val="24"/>
          <w:szCs w:val="24"/>
        </w:rPr>
        <w:t>宏基因组测序</w:t>
      </w:r>
    </w:p>
    <w:p w14:paraId="60669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1.6 </w:t>
      </w:r>
      <w:r>
        <w:rPr>
          <w:rFonts w:hint="default" w:ascii="Times New Roman" w:hAnsi="Times New Roman" w:eastAsia="宋体" w:cs="Times New Roman"/>
          <w:sz w:val="24"/>
          <w:szCs w:val="24"/>
        </w:rPr>
        <w:t>基因组重测序</w:t>
      </w:r>
    </w:p>
    <w:p w14:paraId="5B238B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1.7 </w:t>
      </w:r>
      <w:r>
        <w:rPr>
          <w:rFonts w:hint="default" w:ascii="Times New Roman" w:hAnsi="Times New Roman" w:eastAsia="宋体" w:cs="Times New Roman"/>
          <w:sz w:val="24"/>
          <w:szCs w:val="24"/>
        </w:rPr>
        <w:t>原核/真核基因组注释</w:t>
      </w:r>
    </w:p>
    <w:p w14:paraId="7DB213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1.8 </w:t>
      </w:r>
      <w:r>
        <w:rPr>
          <w:rFonts w:hint="default" w:ascii="Times New Roman" w:hAnsi="Times New Roman" w:eastAsia="宋体" w:cs="Times New Roman"/>
          <w:sz w:val="24"/>
          <w:szCs w:val="24"/>
        </w:rPr>
        <w:t>ChIP-seq / DAP-seq</w:t>
      </w:r>
    </w:p>
    <w:p w14:paraId="33B39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1.9 </w:t>
      </w:r>
      <w:r>
        <w:rPr>
          <w:rFonts w:hint="default" w:ascii="Times New Roman" w:hAnsi="Times New Roman" w:eastAsia="宋体" w:cs="Times New Roman"/>
          <w:sz w:val="24"/>
          <w:szCs w:val="24"/>
        </w:rPr>
        <w:t>小RNA测序</w:t>
      </w:r>
    </w:p>
    <w:p w14:paraId="0BED8C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1.10 </w:t>
      </w:r>
      <w:r>
        <w:rPr>
          <w:rFonts w:hint="default" w:ascii="Times New Roman" w:hAnsi="Times New Roman" w:eastAsia="宋体" w:cs="Times New Roman"/>
          <w:sz w:val="24"/>
          <w:szCs w:val="24"/>
        </w:rPr>
        <w:t>单细胞转录组 / ATAC测序</w:t>
      </w:r>
    </w:p>
    <w:p w14:paraId="333FD1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1.11 </w:t>
      </w:r>
      <w:r>
        <w:rPr>
          <w:rFonts w:hint="default" w:ascii="Times New Roman" w:hAnsi="Times New Roman" w:eastAsia="宋体" w:cs="Times New Roman"/>
          <w:sz w:val="24"/>
          <w:szCs w:val="24"/>
        </w:rPr>
        <w:t>空间转录组</w:t>
      </w:r>
    </w:p>
    <w:p w14:paraId="0EBA1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1.12 </w:t>
      </w:r>
      <w:r>
        <w:rPr>
          <w:rFonts w:hint="default" w:ascii="Times New Roman" w:hAnsi="Times New Roman" w:eastAsia="宋体" w:cs="Times New Roman"/>
          <w:sz w:val="24"/>
          <w:szCs w:val="24"/>
        </w:rPr>
        <w:t>TCR / BCR测序</w:t>
      </w:r>
    </w:p>
    <w:p w14:paraId="7BFAA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1.13 外泌体测序（全转录组 / miRNA / lncRNA / circRNA）</w:t>
      </w:r>
    </w:p>
    <w:p w14:paraId="355D6E89">
      <w:pPr>
        <w:bidi w:val="0"/>
        <w:rPr>
          <w:rFonts w:hint="default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2</w:t>
      </w:r>
      <w:r>
        <w:rPr>
          <w:rFonts w:hint="default" w:ascii="黑体" w:hAnsi="黑体" w:eastAsia="黑体" w:cs="黑体"/>
          <w:b/>
          <w:bCs/>
          <w:sz w:val="28"/>
          <w:szCs w:val="28"/>
          <w:lang w:val="en-US" w:eastAsia="zh-CN"/>
        </w:rPr>
        <w:t>个性化分析项目</w:t>
      </w:r>
    </w:p>
    <w:p w14:paraId="5C664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2.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1 转录组多维度解析</w:t>
      </w:r>
    </w:p>
    <w:p w14:paraId="5A3F2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2.1.1 </w:t>
      </w:r>
      <w:r>
        <w:rPr>
          <w:rFonts w:hint="default" w:ascii="Times New Roman" w:hAnsi="Times New Roman" w:eastAsia="宋体" w:cs="Times New Roman"/>
          <w:sz w:val="24"/>
          <w:szCs w:val="24"/>
        </w:rPr>
        <w:t>lncRNA分析</w:t>
      </w:r>
    </w:p>
    <w:p w14:paraId="45177B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2.1.2 </w:t>
      </w:r>
      <w:r>
        <w:rPr>
          <w:rFonts w:hint="default" w:ascii="Times New Roman" w:hAnsi="Times New Roman" w:eastAsia="宋体" w:cs="Times New Roman"/>
          <w:sz w:val="24"/>
          <w:szCs w:val="24"/>
        </w:rPr>
        <w:t>可变剪接（AS）</w:t>
      </w:r>
    </w:p>
    <w:p w14:paraId="30E77B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2.1.3 </w:t>
      </w:r>
      <w:r>
        <w:rPr>
          <w:rFonts w:hint="default" w:ascii="Times New Roman" w:hAnsi="Times New Roman" w:eastAsia="宋体" w:cs="Times New Roman"/>
          <w:sz w:val="24"/>
          <w:szCs w:val="24"/>
        </w:rPr>
        <w:t>选择性多聚腺苷酸化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分析</w:t>
      </w:r>
      <w:r>
        <w:rPr>
          <w:rFonts w:hint="default" w:ascii="Times New Roman" w:hAnsi="Times New Roman" w:eastAsia="宋体" w:cs="Times New Roman"/>
          <w:sz w:val="24"/>
          <w:szCs w:val="24"/>
        </w:rPr>
        <w:t>（APA）</w:t>
      </w:r>
    </w:p>
    <w:p w14:paraId="3B81D0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2.1.4 </w:t>
      </w:r>
      <w:r>
        <w:rPr>
          <w:rFonts w:hint="default" w:ascii="Times New Roman" w:hAnsi="Times New Roman" w:eastAsia="宋体" w:cs="Times New Roman"/>
          <w:sz w:val="24"/>
          <w:szCs w:val="24"/>
        </w:rPr>
        <w:t>RNA编辑（RNA editing）</w:t>
      </w:r>
    </w:p>
    <w:p w14:paraId="7E381B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2.1.5 </w:t>
      </w:r>
      <w:r>
        <w:rPr>
          <w:rFonts w:hint="default" w:ascii="Times New Roman" w:hAnsi="Times New Roman" w:eastAsia="宋体" w:cs="Times New Roman"/>
          <w:sz w:val="24"/>
          <w:szCs w:val="24"/>
        </w:rPr>
        <w:t>CircRNA分析</w:t>
      </w:r>
    </w:p>
    <w:p w14:paraId="497CAD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2.1.6 </w:t>
      </w:r>
      <w:r>
        <w:rPr>
          <w:rFonts w:hint="default" w:ascii="Times New Roman" w:hAnsi="Times New Roman" w:eastAsia="宋体" w:cs="Times New Roman"/>
          <w:sz w:val="24"/>
          <w:szCs w:val="24"/>
        </w:rPr>
        <w:t>基因融合（Gene fusion）</w:t>
      </w:r>
    </w:p>
    <w:p w14:paraId="4F14D3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2.1.7 </w:t>
      </w:r>
      <w:r>
        <w:rPr>
          <w:rFonts w:hint="default" w:ascii="Times New Roman" w:hAnsi="Times New Roman" w:eastAsia="宋体" w:cs="Times New Roman"/>
          <w:sz w:val="24"/>
          <w:szCs w:val="24"/>
        </w:rPr>
        <w:t>肿瘤新抗原预测</w:t>
      </w:r>
    </w:p>
    <w:p w14:paraId="6D0B97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2.1.8 </w:t>
      </w:r>
      <w:r>
        <w:rPr>
          <w:rFonts w:hint="default" w:ascii="Times New Roman" w:hAnsi="Times New Roman" w:eastAsia="宋体" w:cs="Times New Roman"/>
          <w:sz w:val="24"/>
          <w:szCs w:val="24"/>
        </w:rPr>
        <w:t>新翻译小肽预测</w:t>
      </w:r>
    </w:p>
    <w:p w14:paraId="70B3AF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2.1.9 </w:t>
      </w:r>
      <w:r>
        <w:rPr>
          <w:rFonts w:hint="default" w:ascii="Times New Roman" w:hAnsi="Times New Roman" w:eastAsia="宋体" w:cs="Times New Roman"/>
          <w:sz w:val="24"/>
          <w:szCs w:val="24"/>
        </w:rPr>
        <w:t>CNV推断</w:t>
      </w:r>
    </w:p>
    <w:p w14:paraId="38582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2.1.10 </w:t>
      </w:r>
      <w:r>
        <w:rPr>
          <w:rFonts w:hint="default" w:ascii="Times New Roman" w:hAnsi="Times New Roman" w:eastAsia="宋体" w:cs="Times New Roman"/>
          <w:sz w:val="24"/>
          <w:szCs w:val="24"/>
        </w:rPr>
        <w:t>肿瘤突变负荷（TMB）分析</w:t>
      </w:r>
    </w:p>
    <w:p w14:paraId="282F09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2.1.11 </w:t>
      </w:r>
      <w:r>
        <w:rPr>
          <w:rFonts w:hint="default" w:ascii="Times New Roman" w:hAnsi="Times New Roman" w:eastAsia="宋体" w:cs="Times New Roman"/>
          <w:sz w:val="24"/>
          <w:szCs w:val="24"/>
        </w:rPr>
        <w:t>微卫星不稳定性（MSI）分析</w:t>
      </w:r>
    </w:p>
    <w:p w14:paraId="2F988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2.1.12 </w:t>
      </w:r>
      <w:r>
        <w:rPr>
          <w:rFonts w:hint="default" w:ascii="Times New Roman" w:hAnsi="Times New Roman" w:eastAsia="宋体" w:cs="Times New Roman"/>
          <w:sz w:val="24"/>
          <w:szCs w:val="24"/>
        </w:rPr>
        <w:t>免疫浸润分析（CIBERSORT/xCell/ESTIMATE）</w:t>
      </w:r>
    </w:p>
    <w:p w14:paraId="09A31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2.1.13 </w:t>
      </w:r>
      <w:r>
        <w:rPr>
          <w:rFonts w:hint="default" w:ascii="Times New Roman" w:hAnsi="Times New Roman" w:eastAsia="宋体" w:cs="Times New Roman"/>
          <w:sz w:val="24"/>
          <w:szCs w:val="24"/>
        </w:rPr>
        <w:t>m6A RNA修饰分析</w:t>
      </w:r>
    </w:p>
    <w:p w14:paraId="50FF9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2.1.14 </w:t>
      </w:r>
      <w:r>
        <w:rPr>
          <w:rFonts w:hint="default" w:ascii="Times New Roman" w:hAnsi="Times New Roman" w:eastAsia="宋体" w:cs="Times New Roman"/>
          <w:sz w:val="24"/>
          <w:szCs w:val="24"/>
        </w:rPr>
        <w:t>WTW分析（加权基因共表达网络分析）</w:t>
      </w:r>
    </w:p>
    <w:p w14:paraId="78E95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2.1.15 </w:t>
      </w:r>
      <w:r>
        <w:rPr>
          <w:rFonts w:hint="default" w:ascii="Times New Roman" w:hAnsi="Times New Roman" w:eastAsia="宋体" w:cs="Times New Roman"/>
          <w:sz w:val="24"/>
          <w:szCs w:val="24"/>
        </w:rPr>
        <w:t>时序表达模式聚类</w:t>
      </w:r>
    </w:p>
    <w:p w14:paraId="2BCB2F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2.1.16 </w:t>
      </w:r>
      <w:r>
        <w:rPr>
          <w:rFonts w:hint="default" w:ascii="Times New Roman" w:hAnsi="Times New Roman" w:eastAsia="宋体" w:cs="Times New Roman"/>
          <w:sz w:val="24"/>
          <w:szCs w:val="24"/>
        </w:rPr>
        <w:t>组织特异性表达分析</w:t>
      </w:r>
    </w:p>
    <w:p w14:paraId="2CF30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2.1.17 </w:t>
      </w:r>
      <w:r>
        <w:rPr>
          <w:rFonts w:hint="default" w:ascii="Times New Roman" w:hAnsi="Times New Roman" w:eastAsia="宋体" w:cs="Times New Roman"/>
          <w:sz w:val="24"/>
          <w:szCs w:val="24"/>
        </w:rPr>
        <w:t>等位基因特异性表达</w:t>
      </w:r>
    </w:p>
    <w:p w14:paraId="03353B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2.1.18 </w:t>
      </w:r>
      <w:r>
        <w:rPr>
          <w:rFonts w:hint="default" w:ascii="Times New Roman" w:hAnsi="Times New Roman" w:eastAsia="宋体" w:cs="Times New Roman"/>
          <w:sz w:val="24"/>
          <w:szCs w:val="24"/>
        </w:rPr>
        <w:t>eQTL（表达数量性状位点）分析</w:t>
      </w:r>
    </w:p>
    <w:p w14:paraId="2C29A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2.1.19 </w:t>
      </w:r>
      <w:r>
        <w:rPr>
          <w:rFonts w:hint="default" w:ascii="Times New Roman" w:hAnsi="Times New Roman" w:eastAsia="宋体" w:cs="Times New Roman"/>
          <w:sz w:val="24"/>
          <w:szCs w:val="24"/>
        </w:rPr>
        <w:t>外泌体circRNA分析</w:t>
      </w:r>
    </w:p>
    <w:p w14:paraId="54546F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单细胞测序深度分析</w:t>
      </w:r>
    </w:p>
    <w:p w14:paraId="463BA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2.2.1 </w:t>
      </w:r>
      <w:r>
        <w:rPr>
          <w:rFonts w:hint="default" w:ascii="Times New Roman" w:hAnsi="Times New Roman" w:eastAsia="宋体" w:cs="Times New Roman"/>
          <w:sz w:val="24"/>
          <w:szCs w:val="24"/>
        </w:rPr>
        <w:t>拟时分析（Trajectory inference）</w:t>
      </w:r>
    </w:p>
    <w:p w14:paraId="7A007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2.2.2 </w:t>
      </w:r>
      <w:r>
        <w:rPr>
          <w:rFonts w:hint="default" w:ascii="Times New Roman" w:hAnsi="Times New Roman" w:eastAsia="宋体" w:cs="Times New Roman"/>
          <w:sz w:val="24"/>
          <w:szCs w:val="24"/>
        </w:rPr>
        <w:t>RNA速率分析（RNA velocity）</w:t>
      </w:r>
    </w:p>
    <w:p w14:paraId="7FFECF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2.2.3 </w:t>
      </w:r>
      <w:r>
        <w:rPr>
          <w:rFonts w:hint="default" w:ascii="Times New Roman" w:hAnsi="Times New Roman" w:eastAsia="宋体" w:cs="Times New Roman"/>
          <w:sz w:val="24"/>
          <w:szCs w:val="24"/>
        </w:rPr>
        <w:t>细胞通讯分析（CellChat / CellPhoneDB）</w:t>
      </w:r>
    </w:p>
    <w:p w14:paraId="6D5DBD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2.2.4 </w:t>
      </w:r>
      <w:r>
        <w:rPr>
          <w:rFonts w:hint="default" w:ascii="Times New Roman" w:hAnsi="Times New Roman" w:eastAsia="宋体" w:cs="Times New Roman"/>
          <w:sz w:val="24"/>
          <w:szCs w:val="24"/>
        </w:rPr>
        <w:t>转录因子调控网络分析（SCENIC）</w:t>
      </w:r>
    </w:p>
    <w:p w14:paraId="403993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2.2.5 </w:t>
      </w:r>
      <w:r>
        <w:rPr>
          <w:rFonts w:hint="default" w:ascii="Times New Roman" w:hAnsi="Times New Roman" w:eastAsia="宋体" w:cs="Times New Roman"/>
          <w:sz w:val="24"/>
          <w:szCs w:val="24"/>
        </w:rPr>
        <w:t>细胞周期分析</w:t>
      </w:r>
    </w:p>
    <w:p w14:paraId="7BE64F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2.2.6 </w:t>
      </w:r>
      <w:r>
        <w:rPr>
          <w:rFonts w:hint="default" w:ascii="Times New Roman" w:hAnsi="Times New Roman" w:eastAsia="宋体" w:cs="Times New Roman"/>
          <w:sz w:val="24"/>
          <w:szCs w:val="24"/>
        </w:rPr>
        <w:t>单细胞选择性多聚腺苷酸化（scAPA）</w:t>
      </w:r>
    </w:p>
    <w:p w14:paraId="4D7623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2.2.7 </w:t>
      </w:r>
      <w:r>
        <w:rPr>
          <w:rFonts w:hint="default" w:ascii="Times New Roman" w:hAnsi="Times New Roman" w:eastAsia="宋体" w:cs="Times New Roman"/>
          <w:sz w:val="24"/>
          <w:szCs w:val="24"/>
        </w:rPr>
        <w:t>拷贝数变异（inferCNV）推断</w:t>
      </w:r>
    </w:p>
    <w:p w14:paraId="48369A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2.2.8 </w:t>
      </w:r>
      <w:r>
        <w:rPr>
          <w:rFonts w:hint="default" w:ascii="Times New Roman" w:hAnsi="Times New Roman" w:eastAsia="宋体" w:cs="Times New Roman"/>
          <w:sz w:val="24"/>
          <w:szCs w:val="24"/>
        </w:rPr>
        <w:t>细胞类型特异性标记基因筛选</w:t>
      </w:r>
    </w:p>
    <w:p w14:paraId="71DB58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2.2.9 </w:t>
      </w:r>
      <w:r>
        <w:rPr>
          <w:rFonts w:hint="default" w:ascii="Times New Roman" w:hAnsi="Times New Roman" w:eastAsia="宋体" w:cs="Times New Roman"/>
          <w:sz w:val="24"/>
          <w:szCs w:val="24"/>
        </w:rPr>
        <w:t>细胞比例差异分析</w:t>
      </w:r>
    </w:p>
    <w:p w14:paraId="06E1A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2.2.10 </w:t>
      </w:r>
      <w:r>
        <w:rPr>
          <w:rFonts w:hint="default" w:ascii="Times New Roman" w:hAnsi="Times New Roman" w:eastAsia="宋体" w:cs="Times New Roman"/>
          <w:sz w:val="24"/>
          <w:szCs w:val="24"/>
        </w:rPr>
        <w:t>跨样本整合分析（Harmony / Seurat整合）</w:t>
      </w:r>
    </w:p>
    <w:p w14:paraId="5ED281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2.2.11 </w:t>
      </w:r>
      <w:r>
        <w:rPr>
          <w:rFonts w:hint="default" w:ascii="Times New Roman" w:hAnsi="Times New Roman" w:eastAsia="宋体" w:cs="Times New Roman"/>
          <w:sz w:val="24"/>
          <w:szCs w:val="24"/>
        </w:rPr>
        <w:t>多组学单细胞整合（scRNA-seq + scATAC-seq）</w:t>
      </w:r>
    </w:p>
    <w:p w14:paraId="2EDF83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2.3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 公共数据库数据挖掘</w:t>
      </w:r>
    </w:p>
    <w:p w14:paraId="4FCEC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2.3.1 </w:t>
      </w:r>
      <w:r>
        <w:rPr>
          <w:rFonts w:hint="default" w:ascii="Times New Roman" w:hAnsi="Times New Roman" w:eastAsia="宋体" w:cs="Times New Roman"/>
          <w:sz w:val="24"/>
          <w:szCs w:val="24"/>
        </w:rPr>
        <w:t>SRA数据库数据下载与重分析</w:t>
      </w:r>
    </w:p>
    <w:p w14:paraId="4A5B1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2.3.2 </w:t>
      </w:r>
      <w:r>
        <w:rPr>
          <w:rFonts w:hint="default" w:ascii="Times New Roman" w:hAnsi="Times New Roman" w:eastAsia="宋体" w:cs="Times New Roman"/>
          <w:sz w:val="24"/>
          <w:szCs w:val="24"/>
        </w:rPr>
        <w:t>GEO数据库芯片/测序数据挖掘</w:t>
      </w:r>
    </w:p>
    <w:p w14:paraId="243425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2.3.3 </w:t>
      </w:r>
      <w:r>
        <w:rPr>
          <w:rFonts w:hint="default" w:ascii="Times New Roman" w:hAnsi="Times New Roman" w:eastAsia="宋体" w:cs="Times New Roman"/>
          <w:sz w:val="24"/>
          <w:szCs w:val="24"/>
        </w:rPr>
        <w:t>TCGA数据库多癌种多组学数据挖掘</w:t>
      </w:r>
    </w:p>
    <w:p w14:paraId="7F814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2.3.4 </w:t>
      </w:r>
      <w:r>
        <w:rPr>
          <w:rFonts w:hint="default" w:ascii="Times New Roman" w:hAnsi="Times New Roman" w:eastAsia="宋体" w:cs="Times New Roman"/>
          <w:sz w:val="24"/>
          <w:szCs w:val="24"/>
        </w:rPr>
        <w:t>GTEx正常组织表达数据挖掘</w:t>
      </w:r>
    </w:p>
    <w:p w14:paraId="1D40B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2.3.5 </w:t>
      </w:r>
      <w:r>
        <w:rPr>
          <w:rFonts w:hint="default" w:ascii="Times New Roman" w:hAnsi="Times New Roman" w:eastAsia="宋体" w:cs="Times New Roman"/>
          <w:sz w:val="24"/>
          <w:szCs w:val="24"/>
        </w:rPr>
        <w:t>ENCODE表观数据整合</w:t>
      </w:r>
    </w:p>
    <w:p w14:paraId="555826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2.3.6</w:t>
      </w:r>
      <w:r>
        <w:rPr>
          <w:rFonts w:hint="default" w:ascii="Times New Roman" w:hAnsi="Times New Roman" w:eastAsia="宋体" w:cs="Times New Roman"/>
          <w:sz w:val="24"/>
          <w:szCs w:val="24"/>
        </w:rPr>
        <w:t>单细胞公共数据（GEO scRNA-seq）挖掘</w:t>
      </w:r>
    </w:p>
    <w:p w14:paraId="457611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2.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4 药物虚拟筛选</w:t>
      </w:r>
    </w:p>
    <w:p w14:paraId="5ADE15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2.4.1</w:t>
      </w:r>
      <w:r>
        <w:rPr>
          <w:rFonts w:hint="default" w:ascii="Times New Roman" w:hAnsi="Times New Roman" w:eastAsia="宋体" w:cs="Times New Roman"/>
          <w:lang w:val="en-US" w:eastAsia="zh-CN"/>
        </w:rPr>
        <w:t>批量分子对接</w:t>
      </w:r>
    </w:p>
    <w:p w14:paraId="75414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2.4.2</w:t>
      </w:r>
      <w:r>
        <w:rPr>
          <w:rFonts w:hint="default" w:ascii="Times New Roman" w:hAnsi="Times New Roman" w:eastAsia="宋体" w:cs="Times New Roman"/>
          <w:lang w:val="en-US" w:eastAsia="zh-CN"/>
        </w:rPr>
        <w:t>分子动力学分析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                                                                                               </w:t>
      </w:r>
    </w:p>
    <w:p w14:paraId="1978E128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 xml:space="preserve">3 </w:t>
      </w:r>
      <w:r>
        <w:rPr>
          <w:rFonts w:hint="default" w:ascii="黑体" w:hAnsi="黑体" w:eastAsia="黑体" w:cs="黑体"/>
          <w:b/>
          <w:bCs/>
          <w:sz w:val="28"/>
          <w:szCs w:val="28"/>
          <w:lang w:val="en-US" w:eastAsia="zh-CN"/>
        </w:rPr>
        <w:t>论文服务</w:t>
      </w:r>
    </w:p>
    <w:p w14:paraId="4FA8F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3.1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专门数据库构建</w:t>
      </w:r>
    </w:p>
    <w:p w14:paraId="1FCB83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3.1.1 </w:t>
      </w:r>
      <w:r>
        <w:rPr>
          <w:rFonts w:hint="default" w:ascii="Times New Roman" w:hAnsi="Times New Roman" w:eastAsia="宋体" w:cs="Times New Roman"/>
          <w:sz w:val="24"/>
          <w:szCs w:val="24"/>
        </w:rPr>
        <w:t>物种专有数据库构建</w:t>
      </w:r>
    </w:p>
    <w:p w14:paraId="5D855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3.1.2 </w:t>
      </w:r>
      <w:r>
        <w:rPr>
          <w:rFonts w:hint="default" w:ascii="Times New Roman" w:hAnsi="Times New Roman" w:eastAsia="宋体" w:cs="Times New Roman"/>
          <w:sz w:val="24"/>
          <w:szCs w:val="24"/>
        </w:rPr>
        <w:t>专病数据库构建</w:t>
      </w:r>
    </w:p>
    <w:p w14:paraId="5EB3A1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3.1.3 </w:t>
      </w:r>
      <w:r>
        <w:rPr>
          <w:rFonts w:hint="default" w:ascii="Times New Roman" w:hAnsi="Times New Roman" w:eastAsia="宋体" w:cs="Times New Roman"/>
          <w:sz w:val="24"/>
          <w:szCs w:val="24"/>
        </w:rPr>
        <w:t>物种/疾病知识图谱构建</w:t>
      </w:r>
    </w:p>
    <w:p w14:paraId="2C58C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3.1.4 </w:t>
      </w:r>
      <w:r>
        <w:rPr>
          <w:rFonts w:hint="default" w:ascii="Times New Roman" w:hAnsi="Times New Roman" w:eastAsia="宋体" w:cs="Times New Roman"/>
          <w:sz w:val="24"/>
          <w:szCs w:val="24"/>
        </w:rPr>
        <w:t>物种基因功能综合解析平台</w:t>
      </w:r>
    </w:p>
    <w:p w14:paraId="65DB37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3.1.5 </w:t>
      </w:r>
      <w:r>
        <w:rPr>
          <w:rFonts w:hint="default" w:ascii="Times New Roman" w:hAnsi="Times New Roman" w:eastAsia="宋体" w:cs="Times New Roman"/>
          <w:sz w:val="24"/>
          <w:szCs w:val="24"/>
        </w:rPr>
        <w:t>疾病相关基因及药物靶点数据库</w:t>
      </w:r>
    </w:p>
    <w:p w14:paraId="25F53A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3.1.6 </w:t>
      </w:r>
      <w:r>
        <w:rPr>
          <w:rFonts w:hint="default" w:ascii="Times New Roman" w:hAnsi="Times New Roman" w:eastAsia="宋体" w:cs="Times New Roman"/>
          <w:sz w:val="24"/>
          <w:szCs w:val="24"/>
        </w:rPr>
        <w:t>单细胞/空间转录组数据可视化与查询平台</w:t>
      </w:r>
    </w:p>
    <w:p w14:paraId="4BE363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3.1.7 </w:t>
      </w:r>
      <w:r>
        <w:rPr>
          <w:rFonts w:hint="default" w:ascii="Times New Roman" w:hAnsi="Times New Roman" w:eastAsia="宋体" w:cs="Times New Roman"/>
          <w:sz w:val="24"/>
          <w:szCs w:val="24"/>
        </w:rPr>
        <w:t>多组学数据整合检索与在线分析系统</w:t>
      </w:r>
    </w:p>
    <w:p w14:paraId="6D6B37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3.1.8 </w:t>
      </w:r>
      <w:r>
        <w:rPr>
          <w:rFonts w:hint="default" w:ascii="Times New Roman" w:hAnsi="Times New Roman" w:eastAsia="宋体" w:cs="Times New Roman"/>
          <w:sz w:val="24"/>
          <w:szCs w:val="24"/>
        </w:rPr>
        <w:t>突变-表型关联数据库</w:t>
      </w:r>
    </w:p>
    <w:p w14:paraId="453EF0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3.1.9 </w:t>
      </w:r>
      <w:r>
        <w:rPr>
          <w:rFonts w:hint="default" w:ascii="Times New Roman" w:hAnsi="Times New Roman" w:eastAsia="宋体" w:cs="Times New Roman"/>
          <w:sz w:val="24"/>
          <w:szCs w:val="24"/>
        </w:rPr>
        <w:t>物种非编码RNA综合数据库（miRNA/lncRNA/circRNA）</w:t>
      </w:r>
    </w:p>
    <w:p w14:paraId="1AAF1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3.1.10 </w:t>
      </w:r>
      <w:r>
        <w:rPr>
          <w:rFonts w:hint="default" w:ascii="Times New Roman" w:hAnsi="Times New Roman" w:eastAsia="宋体" w:cs="Times New Roman"/>
          <w:sz w:val="24"/>
          <w:szCs w:val="24"/>
        </w:rPr>
        <w:t>比较基因组学数据库（多物种同源基因/直系同源关系）</w:t>
      </w:r>
    </w:p>
    <w:p w14:paraId="4B2C4E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3.1.11 </w:t>
      </w:r>
      <w:r>
        <w:rPr>
          <w:rFonts w:hint="default" w:ascii="Times New Roman" w:hAnsi="Times New Roman" w:eastAsia="宋体" w:cs="Times New Roman"/>
          <w:sz w:val="24"/>
          <w:szCs w:val="24"/>
        </w:rPr>
        <w:t>免疫组库数据库（TCR/BCR多样性及克隆型）</w:t>
      </w:r>
    </w:p>
    <w:p w14:paraId="7DD5A6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3.1.12 </w:t>
      </w:r>
      <w:r>
        <w:rPr>
          <w:rFonts w:hint="default" w:ascii="Times New Roman" w:hAnsi="Times New Roman" w:eastAsia="宋体" w:cs="Times New Roman"/>
          <w:sz w:val="24"/>
          <w:szCs w:val="24"/>
        </w:rPr>
        <w:t>肿瘤标志物综合信息库</w:t>
      </w:r>
    </w:p>
    <w:p w14:paraId="084EBC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3.1.13 </w:t>
      </w:r>
      <w:r>
        <w:rPr>
          <w:rFonts w:hint="default" w:ascii="Times New Roman" w:hAnsi="Times New Roman" w:eastAsia="宋体" w:cs="Times New Roman"/>
          <w:sz w:val="24"/>
          <w:szCs w:val="24"/>
        </w:rPr>
        <w:t>微生物组资源数据库（分离株/功能基因/代谢通路）</w:t>
      </w:r>
    </w:p>
    <w:p w14:paraId="4FB09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3.1.14 </w:t>
      </w:r>
      <w:r>
        <w:rPr>
          <w:rFonts w:hint="default" w:ascii="Times New Roman" w:hAnsi="Times New Roman" w:eastAsia="宋体" w:cs="Times New Roman"/>
          <w:sz w:val="24"/>
          <w:szCs w:val="24"/>
        </w:rPr>
        <w:t>表观修饰数据库（甲基化/组蛋白修饰位点）</w:t>
      </w:r>
    </w:p>
    <w:p w14:paraId="6833A7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3.1.15 </w:t>
      </w:r>
      <w:r>
        <w:rPr>
          <w:rFonts w:hint="default" w:ascii="Times New Roman" w:hAnsi="Times New Roman" w:eastAsia="宋体" w:cs="Times New Roman"/>
          <w:sz w:val="24"/>
          <w:szCs w:val="24"/>
        </w:rPr>
        <w:t>代谢物-疾病关联数据库</w:t>
      </w:r>
    </w:p>
    <w:p w14:paraId="4ABF8F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3.2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疾病/性状特征特异基因及机制挖掘</w:t>
      </w:r>
    </w:p>
    <w:p w14:paraId="31EF53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3.2.1 </w:t>
      </w:r>
      <w:r>
        <w:rPr>
          <w:rFonts w:hint="default" w:ascii="Times New Roman" w:hAnsi="Times New Roman" w:eastAsia="宋体" w:cs="Times New Roman"/>
        </w:rPr>
        <w:t>针对特征/疾病多组学数据筛选特征基因（转录组+蛋白组+代谢组联合）</w:t>
      </w:r>
    </w:p>
    <w:p w14:paraId="4553A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3.2.2 </w:t>
      </w:r>
      <w:r>
        <w:rPr>
          <w:rFonts w:hint="default" w:ascii="Times New Roman" w:hAnsi="Times New Roman" w:eastAsia="宋体" w:cs="Times New Roman"/>
        </w:rPr>
        <w:t>基于特征基因的模型构建（诊断/预后/分型模型）</w:t>
      </w:r>
    </w:p>
    <w:p w14:paraId="35281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3.2.3 </w:t>
      </w:r>
      <w:r>
        <w:rPr>
          <w:rFonts w:hint="default" w:ascii="Times New Roman" w:hAnsi="Times New Roman" w:eastAsia="宋体" w:cs="Times New Roman"/>
        </w:rPr>
        <w:t>基于单细胞数据的机制解析</w:t>
      </w:r>
    </w:p>
    <w:p w14:paraId="5F1D40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3.2.4 </w:t>
      </w:r>
      <w:r>
        <w:rPr>
          <w:rFonts w:hint="default" w:ascii="Times New Roman" w:hAnsi="Times New Roman" w:eastAsia="宋体" w:cs="Times New Roman"/>
        </w:rPr>
        <w:t>药物预测（CMap / LINCS）</w:t>
      </w:r>
    </w:p>
    <w:p w14:paraId="003626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3.2.5 </w:t>
      </w:r>
      <w:r>
        <w:rPr>
          <w:rFonts w:hint="default" w:ascii="Times New Roman" w:hAnsi="Times New Roman" w:eastAsia="宋体" w:cs="Times New Roman"/>
        </w:rPr>
        <w:t>其他外部数据验证（独立队列验证 / 实验数据验证）</w:t>
      </w:r>
    </w:p>
    <w:p w14:paraId="386EC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3.2.6 </w:t>
      </w:r>
      <w:r>
        <w:rPr>
          <w:rFonts w:hint="default" w:ascii="Times New Roman" w:hAnsi="Times New Roman" w:eastAsia="宋体" w:cs="Times New Roman"/>
        </w:rPr>
        <w:t>疾病亚型分子分型与临床特征关联分析</w:t>
      </w:r>
    </w:p>
    <w:p w14:paraId="0BD35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3.2.7 </w:t>
      </w:r>
      <w:r>
        <w:rPr>
          <w:rFonts w:hint="default" w:ascii="Times New Roman" w:hAnsi="Times New Roman" w:eastAsia="宋体" w:cs="Times New Roman"/>
        </w:rPr>
        <w:t>肿瘤免疫微环境特征解析（免疫细胞浸润/免疫检查点/免疫评分）</w:t>
      </w:r>
    </w:p>
    <w:p w14:paraId="461220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3.2.8 </w:t>
      </w:r>
      <w:r>
        <w:rPr>
          <w:rFonts w:hint="default" w:ascii="Times New Roman" w:hAnsi="Times New Roman" w:eastAsia="宋体" w:cs="Times New Roman"/>
        </w:rPr>
        <w:t>肿瘤突变谱绘制及驱动基因筛选</w:t>
      </w:r>
    </w:p>
    <w:p w14:paraId="406EA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3.2.9 </w:t>
      </w:r>
      <w:r>
        <w:rPr>
          <w:rFonts w:hint="default" w:ascii="Times New Roman" w:hAnsi="Times New Roman" w:eastAsia="宋体" w:cs="Times New Roman"/>
        </w:rPr>
        <w:t>疾病进展相关的时序动态表达模式分析</w:t>
      </w:r>
    </w:p>
    <w:p w14:paraId="707CB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3.2.10 </w:t>
      </w:r>
      <w:r>
        <w:rPr>
          <w:rFonts w:hint="default" w:ascii="Times New Roman" w:hAnsi="Times New Roman" w:eastAsia="宋体" w:cs="Times New Roman"/>
        </w:rPr>
        <w:t>多组学网络构建（基因-蛋白-代谢物-表型多层网络）</w:t>
      </w:r>
    </w:p>
    <w:p w14:paraId="7B478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3.2.11 </w:t>
      </w:r>
      <w:r>
        <w:rPr>
          <w:rFonts w:hint="default" w:ascii="Times New Roman" w:hAnsi="Times New Roman" w:eastAsia="宋体" w:cs="Times New Roman"/>
        </w:rPr>
        <w:t>孟德尔随机化分析（基因型-表型因果推断）</w:t>
      </w:r>
    </w:p>
    <w:p w14:paraId="02ECB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3.2.12 </w:t>
      </w:r>
      <w:r>
        <w:rPr>
          <w:rFonts w:hint="default" w:ascii="Times New Roman" w:hAnsi="Times New Roman" w:eastAsia="宋体" w:cs="Times New Roman"/>
        </w:rPr>
        <w:t>疾病相关非编码RNA调控网络（ceRNA网络/ miRNA-mRNA调控轴）</w:t>
      </w:r>
    </w:p>
    <w:p w14:paraId="4D3AF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3.2.13 </w:t>
      </w:r>
      <w:r>
        <w:rPr>
          <w:rFonts w:hint="default" w:ascii="Times New Roman" w:hAnsi="Times New Roman" w:eastAsia="宋体" w:cs="Times New Roman"/>
        </w:rPr>
        <w:t>表观遗传-转录组联合调控机制分析（甲基化/组蛋白修饰影响表达）</w:t>
      </w:r>
    </w:p>
    <w:p w14:paraId="69AB34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3.2.14 </w:t>
      </w:r>
      <w:r>
        <w:rPr>
          <w:rFonts w:hint="default" w:ascii="Times New Roman" w:hAnsi="Times New Roman" w:eastAsia="宋体" w:cs="Times New Roman"/>
        </w:rPr>
        <w:t>RNA修饰（m6A/m5C/m1A）调控模式分析</w:t>
      </w:r>
    </w:p>
    <w:p w14:paraId="68160F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3.2.15 </w:t>
      </w:r>
      <w:r>
        <w:rPr>
          <w:rFonts w:hint="default" w:ascii="Times New Roman" w:hAnsi="Times New Roman" w:eastAsia="宋体" w:cs="Times New Roman"/>
        </w:rPr>
        <w:t>药物重定位（老药新用）系统筛选</w:t>
      </w:r>
    </w:p>
    <w:p w14:paraId="315384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3.2.16 </w:t>
      </w:r>
      <w:r>
        <w:rPr>
          <w:rFonts w:hint="default" w:ascii="Times New Roman" w:hAnsi="Times New Roman" w:eastAsia="宋体" w:cs="Times New Roman"/>
        </w:rPr>
        <w:t>分子对接与虚拟筛选（靶点-药物结合预测）</w:t>
      </w:r>
    </w:p>
    <w:p w14:paraId="6C19BC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3.2.17 </w:t>
      </w:r>
      <w:r>
        <w:rPr>
          <w:rFonts w:hint="default" w:ascii="Times New Roman" w:hAnsi="Times New Roman" w:eastAsia="宋体" w:cs="Times New Roman"/>
        </w:rPr>
        <w:t>多基因风险评分（PRS）构建及风险分层</w:t>
      </w:r>
    </w:p>
    <w:p w14:paraId="6DCB88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3.2.18 </w:t>
      </w:r>
      <w:r>
        <w:rPr>
          <w:rFonts w:hint="default" w:ascii="Times New Roman" w:hAnsi="Times New Roman" w:eastAsia="宋体" w:cs="Times New Roman"/>
        </w:rPr>
        <w:t>临床多组学预后标志物组合筛选</w:t>
      </w:r>
    </w:p>
    <w:p w14:paraId="6E7B8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/>
        </w:rPr>
        <w:t>3.3</w:t>
      </w: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>单细胞数据整合分析及机制挖掘</w:t>
      </w:r>
    </w:p>
    <w:p w14:paraId="14757D59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3.3.1 </w:t>
      </w:r>
      <w:r>
        <w:rPr>
          <w:rFonts w:hint="default" w:ascii="Times New Roman" w:hAnsi="Times New Roman" w:eastAsia="宋体" w:cs="Times New Roman"/>
        </w:rPr>
        <w:t>针对特征/疾病多细胞数据筛选特征基因（不同细胞类型各自的特征基因）</w:t>
      </w:r>
    </w:p>
    <w:p w14:paraId="7A567CFF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3.3.2 </w:t>
      </w:r>
      <w:r>
        <w:rPr>
          <w:rFonts w:hint="default" w:ascii="Times New Roman" w:hAnsi="Times New Roman" w:eastAsia="宋体" w:cs="Times New Roman"/>
        </w:rPr>
        <w:t>多细胞特征基因表型解析</w:t>
      </w:r>
    </w:p>
    <w:p w14:paraId="63062F48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3.3.3 </w:t>
      </w:r>
      <w:r>
        <w:rPr>
          <w:rFonts w:hint="default" w:ascii="Times New Roman" w:hAnsi="Times New Roman" w:eastAsia="宋体" w:cs="Times New Roman"/>
        </w:rPr>
        <w:t>基于单细胞数据的机制解析（细胞通讯/分化轨迹/调控网络）</w:t>
      </w:r>
    </w:p>
    <w:p w14:paraId="7F50C5AD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3.3.4 </w:t>
      </w:r>
      <w:r>
        <w:rPr>
          <w:rFonts w:hint="default" w:ascii="Times New Roman" w:hAnsi="Times New Roman" w:eastAsia="宋体" w:cs="Times New Roman"/>
        </w:rPr>
        <w:t>药物预测（单细胞层面的药物响应细胞亚型预测）</w:t>
      </w:r>
    </w:p>
    <w:p w14:paraId="58BC8CF6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3.3.5 </w:t>
      </w:r>
      <w:r>
        <w:rPr>
          <w:rFonts w:hint="default" w:ascii="Times New Roman" w:hAnsi="Times New Roman" w:eastAsia="宋体" w:cs="Times New Roman"/>
        </w:rPr>
        <w:t>其他外部数据验证（独立单细胞数据验证 / 实验验证）</w:t>
      </w:r>
    </w:p>
    <w:p w14:paraId="547890CF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3.3.6 </w:t>
      </w:r>
      <w:r>
        <w:rPr>
          <w:rFonts w:hint="default" w:ascii="Times New Roman" w:hAnsi="Times New Roman" w:eastAsia="宋体" w:cs="Times New Roman"/>
        </w:rPr>
        <w:t>跨样本/跨数据集大规模单细胞数据整合去批次（批次效应校正）</w:t>
      </w:r>
    </w:p>
    <w:p w14:paraId="30582E11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3.3.7 </w:t>
      </w:r>
      <w:r>
        <w:rPr>
          <w:rFonts w:hint="default" w:ascii="Times New Roman" w:hAnsi="Times New Roman" w:eastAsia="宋体" w:cs="Times New Roman"/>
        </w:rPr>
        <w:t>疾病相关细胞亚型精细再分型与功能鉴定</w:t>
      </w:r>
    </w:p>
    <w:p w14:paraId="41EC05FC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3.3.8 </w:t>
      </w:r>
      <w:r>
        <w:rPr>
          <w:rFonts w:hint="default" w:ascii="Times New Roman" w:hAnsi="Times New Roman" w:eastAsia="宋体" w:cs="Times New Roman"/>
        </w:rPr>
        <w:t>细胞类型比例漂移与疾病严重程度关联分析</w:t>
      </w:r>
    </w:p>
    <w:p w14:paraId="16AE7D26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3.3.9 </w:t>
      </w:r>
      <w:r>
        <w:rPr>
          <w:rFonts w:hint="default" w:ascii="Times New Roman" w:hAnsi="Times New Roman" w:eastAsia="宋体" w:cs="Times New Roman"/>
        </w:rPr>
        <w:t>细胞状态转换关键转录因子及调控网络识别（SCENIC）</w:t>
      </w:r>
    </w:p>
    <w:p w14:paraId="3F03E429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3.3.10 </w:t>
      </w:r>
      <w:r>
        <w:rPr>
          <w:rFonts w:hint="default" w:ascii="Times New Roman" w:hAnsi="Times New Roman" w:eastAsia="宋体" w:cs="Times New Roman"/>
        </w:rPr>
        <w:t>配体-受体介导的细胞间信号流重构（CellChat / CellPhoneDB）</w:t>
      </w:r>
    </w:p>
    <w:p w14:paraId="1354CC11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3.3.11 </w:t>
      </w:r>
      <w:r>
        <w:rPr>
          <w:rFonts w:hint="default" w:ascii="Times New Roman" w:hAnsi="Times New Roman" w:eastAsia="宋体" w:cs="Times New Roman"/>
        </w:rPr>
        <w:t>细胞发育拟时序轨迹与分支点关键基因鉴定</w:t>
      </w:r>
    </w:p>
    <w:p w14:paraId="3725737B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3.3.12 </w:t>
      </w:r>
      <w:r>
        <w:rPr>
          <w:rFonts w:hint="default" w:ascii="Times New Roman" w:hAnsi="Times New Roman" w:eastAsia="宋体" w:cs="Times New Roman"/>
        </w:rPr>
        <w:t>RNA代谢动态分析（RNA速率 + 代谢标记）</w:t>
      </w:r>
    </w:p>
    <w:p w14:paraId="32CBFE37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3.3.13 </w:t>
      </w:r>
      <w:r>
        <w:rPr>
          <w:rFonts w:hint="default" w:ascii="Times New Roman" w:hAnsi="Times New Roman" w:eastAsia="宋体" w:cs="Times New Roman"/>
        </w:rPr>
        <w:t>单细胞水平CNV异质性及肿瘤进化轨迹推断（inferCNV）</w:t>
      </w:r>
    </w:p>
    <w:p w14:paraId="56E4573A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3.3.14 </w:t>
      </w:r>
      <w:r>
        <w:rPr>
          <w:rFonts w:hint="default" w:ascii="Times New Roman" w:hAnsi="Times New Roman" w:eastAsia="宋体" w:cs="Times New Roman"/>
        </w:rPr>
        <w:t>单细胞与空间转录组联合定位分析（细胞类型空间映射）</w:t>
      </w:r>
    </w:p>
    <w:p w14:paraId="10F31E58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3.3.15 </w:t>
      </w:r>
      <w:r>
        <w:rPr>
          <w:rFonts w:hint="default" w:ascii="Times New Roman" w:hAnsi="Times New Roman" w:eastAsia="宋体" w:cs="Times New Roman"/>
        </w:rPr>
        <w:t>单细胞多组学整合分析（scRNA-seq + scATAC-seq联合）</w:t>
      </w:r>
    </w:p>
    <w:p w14:paraId="59DFDA61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3.3.16 </w:t>
      </w:r>
      <w:r>
        <w:rPr>
          <w:rFonts w:hint="default" w:ascii="Times New Roman" w:hAnsi="Times New Roman" w:eastAsia="宋体" w:cs="Times New Roman"/>
        </w:rPr>
        <w:t>细胞应激/分化/凋亡等特定生物学过程的单细胞通路富集</w:t>
      </w:r>
    </w:p>
    <w:p w14:paraId="7BC98EDB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3.3.17 </w:t>
      </w:r>
      <w:r>
        <w:rPr>
          <w:rFonts w:hint="default" w:ascii="Times New Roman" w:hAnsi="Times New Roman" w:eastAsia="宋体" w:cs="Times New Roman"/>
        </w:rPr>
        <w:t>配受体重建 + 空间邻近性联合推断功能细胞单元（Cell Socity/细胞社会）</w:t>
      </w:r>
    </w:p>
    <w:p w14:paraId="7E7A5CAB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3.3.18 </w:t>
      </w:r>
      <w:r>
        <w:rPr>
          <w:rFonts w:hint="default" w:ascii="Times New Roman" w:hAnsi="Times New Roman" w:eastAsia="宋体" w:cs="Times New Roman"/>
        </w:rPr>
        <w:t>基于单细胞表达谱的药物敏感性亚群预测</w:t>
      </w:r>
    </w:p>
    <w:p w14:paraId="374208BA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3.3.19 </w:t>
      </w:r>
      <w:r>
        <w:rPr>
          <w:rFonts w:hint="default" w:ascii="Times New Roman" w:hAnsi="Times New Roman" w:eastAsia="宋体" w:cs="Times New Roman"/>
        </w:rPr>
        <w:t>关键细胞亚群的代谢通路偏好性分析</w:t>
      </w:r>
    </w:p>
    <w:p w14:paraId="7B55A41A">
      <w:pPr>
        <w:bidi w:val="0"/>
        <w:rPr>
          <w:rFonts w:hint="default" w:ascii="Times New Roman" w:hAnsi="Times New Roman" w:eastAsia="宋体" w:cs="Times New Roma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 xml:space="preserve">3.3.20 </w:t>
      </w:r>
      <w:r>
        <w:rPr>
          <w:rFonts w:hint="default" w:ascii="Times New Roman" w:hAnsi="Times New Roman" w:eastAsia="宋体" w:cs="Times New Roman"/>
        </w:rPr>
        <w:t>稀有细胞亚群（&lt;1%）的鉴定与功能挖掘</w:t>
      </w:r>
    </w:p>
    <w:p w14:paraId="296EA088">
      <w:pPr>
        <w:bidi w:val="0"/>
        <w:rPr>
          <w:rFonts w:hint="default" w:ascii="Times New Roman" w:hAnsi="Times New Roman" w:eastAsia="宋体" w:cs="Times New Roman"/>
          <w:lang w:val="en-US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4 分析课程培训</w:t>
      </w:r>
    </w:p>
    <w:p w14:paraId="5E06A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40" w:firstLineChars="20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上述所有分析内容均有精品课程在售。课程由资深生物信息专家主讲，结合真实科研案例，从数据预处理到高级可视化全流程拆解，确保学员不仅能掌握工具使用，更能理解背后的生物学逻辑。无论是零基础入门还是进阶提升，都能找到适配的学习路径，高效赋能科研项目，加速高质量论文产出。</w:t>
      </w:r>
    </w:p>
    <w:p w14:paraId="1F85862A">
      <w:pPr>
        <w:spacing w:line="240" w:lineRule="exact"/>
        <w:rPr>
          <w:rFonts w:ascii="华文楷体" w:hAnsi="华文楷体" w:eastAsia="华文楷体"/>
          <w:sz w:val="24"/>
          <w:szCs w:val="28"/>
        </w:rPr>
      </w:pPr>
    </w:p>
    <w:p w14:paraId="6078B187">
      <w:pPr>
        <w:spacing w:line="240" w:lineRule="exact"/>
        <w:rPr>
          <w:rFonts w:ascii="华文楷体" w:hAnsi="华文楷体" w:eastAsia="华文楷体"/>
          <w:sz w:val="24"/>
          <w:szCs w:val="28"/>
        </w:rPr>
      </w:pPr>
    </w:p>
    <w:p w14:paraId="6097EA97">
      <w:pPr>
        <w:spacing w:line="240" w:lineRule="exact"/>
      </w:pPr>
    </w:p>
    <w:p w14:paraId="5B7B5674">
      <w:pPr>
        <w:spacing w:line="360" w:lineRule="auto"/>
        <w:jc w:val="left"/>
        <w:rPr>
          <w:rFonts w:hint="default" w:ascii="Times New Roman" w:hAnsi="Times New Roman" w:cs="Times New Roman" w:eastAsiaTheme="minorEastAsia"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</w:p>
    <w:sectPr>
      <w:headerReference r:id="rId5" w:type="default"/>
      <w:pgSz w:w="11850" w:h="16783"/>
      <w:pgMar w:top="1440" w:right="1800" w:bottom="1440" w:left="1800" w:header="170" w:footer="170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6E4E1">
    <w:pPr>
      <w:pStyle w:val="6"/>
      <w:pBdr>
        <w:bottom w:val="double" w:color="000000" w:sz="8" w:space="1"/>
      </w:pBdr>
      <w:jc w:val="left"/>
    </w:pPr>
    <w:r>
      <w:rPr>
        <w:rFonts w:hint="eastAsia" w:eastAsia="宋体"/>
        <w:lang w:val="en-US" w:eastAsia="zh-CN"/>
      </w:rPr>
      <w:drawing>
        <wp:inline distT="0" distB="0" distL="114300" distR="114300">
          <wp:extent cx="1000760" cy="510540"/>
          <wp:effectExtent l="0" t="0" r="2540" b="0"/>
          <wp:docPr id="1" name="图片 1" descr="公司标志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标志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0760" cy="5105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eastAsia="宋体"/>
        <w:lang w:val="en-US" w:eastAsia="zh-CN"/>
      </w:rPr>
      <w:t xml:space="preserve">                                                   </w:t>
    </w:r>
    <w:r>
      <w:rPr>
        <w:rFonts w:hint="default" w:ascii="Arial" w:hAnsi="Arial" w:eastAsia="宋体" w:cs="Arial"/>
        <w:i/>
        <w:iCs/>
        <w:sz w:val="21"/>
        <w:szCs w:val="32"/>
        <w:lang w:val="en-US" w:eastAsia="zh-CN"/>
      </w:rPr>
      <w:t>Decoding Life with AI</w:t>
    </w:r>
    <w:r>
      <w:rPr>
        <w:rFonts w:hint="default" w:ascii="Arial" w:hAnsi="Arial" w:eastAsia="宋体" w:cs="Arial"/>
        <w:i/>
        <w:iCs/>
        <w:lang w:val="en-US" w:eastAsia="zh-CN"/>
      </w:rPr>
      <w:t xml:space="preserve"> </w:t>
    </w:r>
    <w:r>
      <w:rPr>
        <w:rFonts w:hint="eastAsia" w:eastAsia="宋体"/>
        <w:lang w:val="en-US" w:eastAsia="zh-CN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dit="forms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hYWZkZGVkYTkzYjlhMTJmNDc5ZDgxZDEzMTA5ODEifQ=="/>
  </w:docVars>
  <w:rsids>
    <w:rsidRoot w:val="13BA1570"/>
    <w:rsid w:val="002509E0"/>
    <w:rsid w:val="002C2E83"/>
    <w:rsid w:val="003149A3"/>
    <w:rsid w:val="0032784D"/>
    <w:rsid w:val="00340787"/>
    <w:rsid w:val="00360C70"/>
    <w:rsid w:val="00376AE3"/>
    <w:rsid w:val="0043444B"/>
    <w:rsid w:val="004B25E5"/>
    <w:rsid w:val="00535F53"/>
    <w:rsid w:val="005B1CDE"/>
    <w:rsid w:val="006D070B"/>
    <w:rsid w:val="007604FE"/>
    <w:rsid w:val="0084054F"/>
    <w:rsid w:val="008507E0"/>
    <w:rsid w:val="00853739"/>
    <w:rsid w:val="008E4508"/>
    <w:rsid w:val="009337B9"/>
    <w:rsid w:val="00AD1162"/>
    <w:rsid w:val="00B359E3"/>
    <w:rsid w:val="00B61873"/>
    <w:rsid w:val="00CF3588"/>
    <w:rsid w:val="00D231A7"/>
    <w:rsid w:val="00DB0A4D"/>
    <w:rsid w:val="00E06BD3"/>
    <w:rsid w:val="00FB0C53"/>
    <w:rsid w:val="02396BF5"/>
    <w:rsid w:val="032F3347"/>
    <w:rsid w:val="037053E2"/>
    <w:rsid w:val="044C330C"/>
    <w:rsid w:val="057272E7"/>
    <w:rsid w:val="058F366D"/>
    <w:rsid w:val="06A31650"/>
    <w:rsid w:val="07225960"/>
    <w:rsid w:val="07641CC7"/>
    <w:rsid w:val="080E5D30"/>
    <w:rsid w:val="08B17BE1"/>
    <w:rsid w:val="091E4702"/>
    <w:rsid w:val="09332EF8"/>
    <w:rsid w:val="0A034876"/>
    <w:rsid w:val="0A286239"/>
    <w:rsid w:val="0B1005F7"/>
    <w:rsid w:val="0B381711"/>
    <w:rsid w:val="0D6F3717"/>
    <w:rsid w:val="0D8C7D8B"/>
    <w:rsid w:val="0F910DB7"/>
    <w:rsid w:val="10C7725E"/>
    <w:rsid w:val="10F128C7"/>
    <w:rsid w:val="10F677E1"/>
    <w:rsid w:val="1109742D"/>
    <w:rsid w:val="11E36164"/>
    <w:rsid w:val="127B54E8"/>
    <w:rsid w:val="134F0DAF"/>
    <w:rsid w:val="138D0BCA"/>
    <w:rsid w:val="13BA1570"/>
    <w:rsid w:val="13E10A22"/>
    <w:rsid w:val="14BB136F"/>
    <w:rsid w:val="150A2B53"/>
    <w:rsid w:val="16C475FC"/>
    <w:rsid w:val="17373A23"/>
    <w:rsid w:val="176127D3"/>
    <w:rsid w:val="18063BC7"/>
    <w:rsid w:val="18202258"/>
    <w:rsid w:val="1A8D2AF2"/>
    <w:rsid w:val="1BA70DEF"/>
    <w:rsid w:val="1BCF41AF"/>
    <w:rsid w:val="1C497F33"/>
    <w:rsid w:val="1D5C4168"/>
    <w:rsid w:val="1E18008F"/>
    <w:rsid w:val="1E404409"/>
    <w:rsid w:val="1E42510C"/>
    <w:rsid w:val="1E483C81"/>
    <w:rsid w:val="1ECD4189"/>
    <w:rsid w:val="2118788C"/>
    <w:rsid w:val="22EC5646"/>
    <w:rsid w:val="23671535"/>
    <w:rsid w:val="23E03121"/>
    <w:rsid w:val="24226435"/>
    <w:rsid w:val="25BA6B7C"/>
    <w:rsid w:val="289576A9"/>
    <w:rsid w:val="28B2689B"/>
    <w:rsid w:val="28D7460F"/>
    <w:rsid w:val="291C219B"/>
    <w:rsid w:val="2AF45C28"/>
    <w:rsid w:val="2AF9615A"/>
    <w:rsid w:val="2C0647C0"/>
    <w:rsid w:val="2CDB5D29"/>
    <w:rsid w:val="2CE23D8E"/>
    <w:rsid w:val="2ED71E30"/>
    <w:rsid w:val="2F1C1A05"/>
    <w:rsid w:val="30FF6E8C"/>
    <w:rsid w:val="312D7FBC"/>
    <w:rsid w:val="320B50B6"/>
    <w:rsid w:val="338F2B68"/>
    <w:rsid w:val="33A65CE5"/>
    <w:rsid w:val="33B07DA7"/>
    <w:rsid w:val="34804613"/>
    <w:rsid w:val="36321AB2"/>
    <w:rsid w:val="36A52284"/>
    <w:rsid w:val="39B547F9"/>
    <w:rsid w:val="39FA5B7F"/>
    <w:rsid w:val="3A280986"/>
    <w:rsid w:val="3AAE0022"/>
    <w:rsid w:val="3BCA07AB"/>
    <w:rsid w:val="3D4967B9"/>
    <w:rsid w:val="3EAD5936"/>
    <w:rsid w:val="3EB02ACB"/>
    <w:rsid w:val="3EBE299C"/>
    <w:rsid w:val="3FC1799B"/>
    <w:rsid w:val="403410EC"/>
    <w:rsid w:val="40D86005"/>
    <w:rsid w:val="427609DB"/>
    <w:rsid w:val="42C21682"/>
    <w:rsid w:val="42DD0203"/>
    <w:rsid w:val="436F39FE"/>
    <w:rsid w:val="43BA2714"/>
    <w:rsid w:val="45157F4C"/>
    <w:rsid w:val="452E4C71"/>
    <w:rsid w:val="45AF0AEA"/>
    <w:rsid w:val="45FF28D7"/>
    <w:rsid w:val="46DA33C0"/>
    <w:rsid w:val="47164F43"/>
    <w:rsid w:val="47726ADD"/>
    <w:rsid w:val="47806E6F"/>
    <w:rsid w:val="47A8002A"/>
    <w:rsid w:val="49417BEA"/>
    <w:rsid w:val="49843994"/>
    <w:rsid w:val="49B45B6B"/>
    <w:rsid w:val="4B4623A4"/>
    <w:rsid w:val="4B863218"/>
    <w:rsid w:val="4C7A6CE0"/>
    <w:rsid w:val="4D115B26"/>
    <w:rsid w:val="4EE50403"/>
    <w:rsid w:val="4F8E6EC2"/>
    <w:rsid w:val="50FE0AB7"/>
    <w:rsid w:val="512A03CF"/>
    <w:rsid w:val="54EA06BB"/>
    <w:rsid w:val="55DF449C"/>
    <w:rsid w:val="562E7748"/>
    <w:rsid w:val="569F5D37"/>
    <w:rsid w:val="58852B62"/>
    <w:rsid w:val="59091DA7"/>
    <w:rsid w:val="591F7FCB"/>
    <w:rsid w:val="5BB16E51"/>
    <w:rsid w:val="60017C7C"/>
    <w:rsid w:val="601356CE"/>
    <w:rsid w:val="635773F6"/>
    <w:rsid w:val="635A2795"/>
    <w:rsid w:val="63CB2A7A"/>
    <w:rsid w:val="641A130C"/>
    <w:rsid w:val="65325D48"/>
    <w:rsid w:val="65436414"/>
    <w:rsid w:val="660B282B"/>
    <w:rsid w:val="68505755"/>
    <w:rsid w:val="68951101"/>
    <w:rsid w:val="68DD130D"/>
    <w:rsid w:val="69561384"/>
    <w:rsid w:val="6B92582F"/>
    <w:rsid w:val="6D8970E7"/>
    <w:rsid w:val="6FCE7B7A"/>
    <w:rsid w:val="714B13E6"/>
    <w:rsid w:val="716355EE"/>
    <w:rsid w:val="71816C35"/>
    <w:rsid w:val="720C709B"/>
    <w:rsid w:val="735A1E1C"/>
    <w:rsid w:val="74643585"/>
    <w:rsid w:val="75B74C0D"/>
    <w:rsid w:val="764861AD"/>
    <w:rsid w:val="76A63821"/>
    <w:rsid w:val="7C484A74"/>
    <w:rsid w:val="7DB82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nhideWhenUsed="0" w:uiPriority="0" w:semiHidden="0" w:name="index 1" w:locked="1"/>
    <w:lsdException w:unhideWhenUsed="0" w:uiPriority="0" w:semiHidden="0" w:name="index 2" w:locked="1"/>
    <w:lsdException w:unhideWhenUsed="0" w:uiPriority="0" w:semiHidden="0" w:name="index 3" w:locked="1"/>
    <w:lsdException w:unhideWhenUsed="0" w:uiPriority="0" w:semiHidden="0" w:name="index 4" w:locked="1"/>
    <w:lsdException w:unhideWhenUsed="0" w:uiPriority="0" w:semiHidden="0" w:name="index 5" w:locked="1"/>
    <w:lsdException w:unhideWhenUsed="0" w:uiPriority="0" w:semiHidden="0" w:name="index 6" w:locked="1"/>
    <w:lsdException w:unhideWhenUsed="0" w:uiPriority="0" w:semiHidden="0" w:name="index 7" w:locked="1"/>
    <w:lsdException w:unhideWhenUsed="0" w:uiPriority="0" w:semiHidden="0" w:name="index 8" w:locked="1"/>
    <w:lsdException w:unhideWhenUsed="0" w:uiPriority="0" w:semiHidden="0" w:name="index 9" w:locked="1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 w:locked="1"/>
    <w:lsdException w:unhideWhenUsed="0" w:uiPriority="0" w:semiHidden="0" w:name="footnote text" w:locked="1"/>
    <w:lsdException w:qFormat="1" w:unhideWhenUsed="0" w:uiPriority="0" w:semiHidden="0" w:name="annotation text" w:locked="1"/>
    <w:lsdException w:qFormat="1" w:unhideWhenUsed="0" w:uiPriority="0" w:semiHidden="0" w:name="header" w:locked="1"/>
    <w:lsdException w:qFormat="1" w:unhideWhenUsed="0" w:uiPriority="0" w:semiHidden="0" w:name="footer" w:locked="1"/>
    <w:lsdException w:unhideWhenUsed="0" w:uiPriority="0" w:semiHidden="0" w:name="index heading" w:locked="1"/>
    <w:lsdException w:qFormat="1" w:uiPriority="0" w:name="caption" w:locked="1"/>
    <w:lsdException w:unhideWhenUsed="0" w:uiPriority="0" w:semiHidden="0" w:name="table of figures" w:locked="1"/>
    <w:lsdException w:unhideWhenUsed="0" w:uiPriority="0" w:semiHidden="0" w:name="envelope address" w:locked="1"/>
    <w:lsdException w:unhideWhenUsed="0" w:uiPriority="0" w:semiHidden="0" w:name="envelope return" w:locked="1"/>
    <w:lsdException w:unhideWhenUsed="0" w:uiPriority="0" w:semiHidden="0" w:name="footnote reference" w:locked="1"/>
    <w:lsdException w:unhideWhenUsed="0" w:uiPriority="0" w:semiHidden="0" w:name="annotation reference" w:locked="1"/>
    <w:lsdException w:unhideWhenUsed="0" w:uiPriority="0" w:semiHidden="0" w:name="line number" w:locked="1"/>
    <w:lsdException w:unhideWhenUsed="0" w:uiPriority="0" w:semiHidden="0" w:name="page number" w:locked="1"/>
    <w:lsdException w:unhideWhenUsed="0" w:uiPriority="0" w:semiHidden="0" w:name="endnote reference" w:locked="1"/>
    <w:lsdException w:unhideWhenUsed="0" w:uiPriority="0" w:semiHidden="0" w:name="endnote text" w:locked="1"/>
    <w:lsdException w:unhideWhenUsed="0" w:uiPriority="0" w:semiHidden="0" w:name="table of authorities" w:locked="1"/>
    <w:lsdException w:unhideWhenUsed="0" w:uiPriority="0" w:semiHidden="0" w:name="macro" w:locked="1"/>
    <w:lsdException w:unhideWhenUsed="0" w:uiPriority="0" w:semiHidden="0" w:name="toa heading" w:locked="1"/>
    <w:lsdException w:unhideWhenUsed="0" w:uiPriority="0" w:semiHidden="0" w:name="List" w:locked="1"/>
    <w:lsdException w:unhideWhenUsed="0" w:uiPriority="0" w:semiHidden="0" w:name="List Bullet" w:locked="1"/>
    <w:lsdException w:unhideWhenUsed="0" w:uiPriority="0" w:semiHidden="0" w:name="List Number" w:locked="1"/>
    <w:lsdException w:unhideWhenUsed="0" w:uiPriority="0" w:semiHidden="0" w:name="List 2" w:locked="1"/>
    <w:lsdException w:unhideWhenUsed="0" w:uiPriority="0" w:semiHidden="0" w:name="List 3" w:locked="1"/>
    <w:lsdException w:unhideWhenUsed="0" w:uiPriority="0" w:semiHidden="0" w:name="List 4" w:locked="1"/>
    <w:lsdException w:unhideWhenUsed="0" w:uiPriority="0" w:semiHidden="0" w:name="List 5" w:locked="1"/>
    <w:lsdException w:unhideWhenUsed="0" w:uiPriority="0" w:semiHidden="0" w:name="List Bullet 2" w:locked="1"/>
    <w:lsdException w:unhideWhenUsed="0" w:uiPriority="0" w:semiHidden="0" w:name="List Bullet 3" w:locked="1"/>
    <w:lsdException w:unhideWhenUsed="0" w:uiPriority="0" w:semiHidden="0" w:name="List Bullet 4" w:locked="1"/>
    <w:lsdException w:unhideWhenUsed="0" w:uiPriority="0" w:semiHidden="0" w:name="List Bullet 5" w:locked="1"/>
    <w:lsdException w:unhideWhenUsed="0" w:uiPriority="0" w:semiHidden="0" w:name="List Number 2" w:locked="1"/>
    <w:lsdException w:unhideWhenUsed="0" w:uiPriority="0" w:semiHidden="0" w:name="List Number 3" w:locked="1"/>
    <w:lsdException w:unhideWhenUsed="0" w:uiPriority="0" w:semiHidden="0" w:name="List Number 4" w:locked="1"/>
    <w:lsdException w:unhideWhenUsed="0" w:uiPriority="0" w:semiHidden="0" w:name="List Number 5" w:locked="1"/>
    <w:lsdException w:qFormat="1" w:unhideWhenUsed="0" w:uiPriority="0" w:semiHidden="0" w:name="Title" w:locked="1"/>
    <w:lsdException w:unhideWhenUsed="0" w:uiPriority="0" w:semiHidden="0" w:name="Closing" w:locked="1"/>
    <w:lsdException w:unhideWhenUsed="0" w:uiPriority="0" w:semiHidden="0" w:name="Signature" w:locked="1"/>
    <w:lsdException w:qFormat="1" w:uiPriority="1" w:name="Default Paragraph Font"/>
    <w:lsdException w:unhideWhenUsed="0" w:uiPriority="0" w:semiHidden="0" w:name="Body Text" w:locked="1"/>
    <w:lsdException w:unhideWhenUsed="0" w:uiPriority="0" w:semiHidden="0" w:name="Body Text Indent" w:locked="1"/>
    <w:lsdException w:unhideWhenUsed="0" w:uiPriority="0" w:semiHidden="0" w:name="List Continue" w:locked="1"/>
    <w:lsdException w:unhideWhenUsed="0" w:uiPriority="0" w:semiHidden="0" w:name="List Continue 2" w:locked="1"/>
    <w:lsdException w:unhideWhenUsed="0" w:uiPriority="0" w:semiHidden="0" w:name="List Continue 3" w:locked="1"/>
    <w:lsdException w:unhideWhenUsed="0" w:uiPriority="0" w:semiHidden="0" w:name="List Continue 4" w:locked="1"/>
    <w:lsdException w:unhideWhenUsed="0" w:uiPriority="0" w:semiHidden="0" w:name="List Continue 5" w:locked="1"/>
    <w:lsdException w:unhideWhenUsed="0" w:uiPriority="0" w:semiHidden="0" w:name="Message Header" w:locked="1"/>
    <w:lsdException w:qFormat="1" w:unhideWhenUsed="0" w:uiPriority="0" w:semiHidden="0" w:name="Subtitle" w:locked="1"/>
    <w:lsdException w:unhideWhenUsed="0" w:uiPriority="0" w:semiHidden="0" w:name="Salutation" w:locked="1"/>
    <w:lsdException w:unhideWhenUsed="0" w:uiPriority="0" w:semiHidden="0" w:name="Date" w:locked="1"/>
    <w:lsdException w:unhideWhenUsed="0" w:uiPriority="0" w:semiHidden="0" w:name="Body Text First Indent" w:locked="1"/>
    <w:lsdException w:unhideWhenUsed="0" w:uiPriority="0" w:semiHidden="0" w:name="Body Text First Indent 2" w:locked="1"/>
    <w:lsdException w:unhideWhenUsed="0" w:uiPriority="0" w:semiHidden="0" w:name="Note Heading" w:locked="1"/>
    <w:lsdException w:unhideWhenUsed="0" w:uiPriority="0" w:semiHidden="0" w:name="Body Text 2" w:locked="1"/>
    <w:lsdException w:unhideWhenUsed="0" w:uiPriority="0" w:semiHidden="0" w:name="Body Text 3" w:locked="1"/>
    <w:lsdException w:unhideWhenUsed="0" w:uiPriority="0" w:semiHidden="0" w:name="Body Text Indent 2" w:locked="1"/>
    <w:lsdException w:unhideWhenUsed="0" w:uiPriority="0" w:semiHidden="0" w:name="Body Text Indent 3" w:locked="1"/>
    <w:lsdException w:unhideWhenUsed="0" w:uiPriority="0" w:semiHidden="0" w:name="Block Text" w:locked="1"/>
    <w:lsdException w:unhideWhenUsed="0" w:uiPriority="0" w:semiHidden="0" w:name="Hyperlink" w:locked="1"/>
    <w:lsdException w:unhideWhenUsed="0" w:uiPriority="0" w:semiHidden="0" w:name="FollowedHyperlink" w:locked="1"/>
    <w:lsdException w:qFormat="1" w:unhideWhenUsed="0" w:uiPriority="0" w:semiHidden="0" w:name="Strong" w:locked="1"/>
    <w:lsdException w:qFormat="1" w:unhideWhenUsed="0" w:uiPriority="0" w:semiHidden="0" w:name="Emphasis" w:locked="1"/>
    <w:lsdException w:unhideWhenUsed="0" w:uiPriority="0" w:semiHidden="0" w:name="Document Map" w:locked="1"/>
    <w:lsdException w:unhideWhenUsed="0" w:uiPriority="0" w:semiHidden="0" w:name="Plain Text" w:locked="1"/>
    <w:lsdException w:unhideWhenUsed="0" w:uiPriority="0" w:semiHidden="0" w:name="E-mail Signature" w:locked="1"/>
    <w:lsdException w:qFormat="1" w:uiPriority="0" w:semiHidden="0" w:name="Normal (Web)" w:locked="1"/>
    <w:lsdException w:unhideWhenUsed="0" w:uiPriority="0" w:semiHidden="0" w:name="HTML Acronym" w:locked="1"/>
    <w:lsdException w:unhideWhenUsed="0" w:uiPriority="0" w:semiHidden="0" w:name="HTML Address" w:locked="1"/>
    <w:lsdException w:unhideWhenUsed="0" w:uiPriority="0" w:semiHidden="0" w:name="HTML Cite" w:locked="1"/>
    <w:lsdException w:unhideWhenUsed="0" w:uiPriority="0" w:semiHidden="0" w:name="HTML Code" w:locked="1"/>
    <w:lsdException w:unhideWhenUsed="0" w:uiPriority="0" w:semiHidden="0" w:name="HTML Definition" w:locked="1"/>
    <w:lsdException w:unhideWhenUsed="0" w:uiPriority="0" w:semiHidden="0" w:name="HTML Keyboard" w:locked="1"/>
    <w:lsdException w:qFormat="1" w:unhideWhenUsed="0" w:uiPriority="0" w:semiHidden="0" w:name="HTML Preformatted" w:locked="1"/>
    <w:lsdException w:unhideWhenUsed="0" w:uiPriority="0" w:semiHidden="0" w:name="HTML Sample" w:locked="1"/>
    <w:lsdException w:unhideWhenUsed="0" w:uiPriority="0" w:semiHidden="0" w:name="HTML Typewriter" w:locked="1"/>
    <w:lsdException w:unhideWhenUsed="0" w:uiPriority="0" w:semiHidden="0" w:name="HTML Variable" w:locked="1"/>
    <w:lsdException w:qFormat="1" w:uiPriority="99" w:name="Normal Table"/>
    <w:lsdException w:unhideWhenUsed="0" w:uiPriority="0" w:semiHidden="0" w:name="annotation subject" w:locked="1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 w:locked="1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locked/>
    <w:uiPriority w:val="0"/>
    <w:pPr>
      <w:jc w:val="left"/>
    </w:pPr>
  </w:style>
  <w:style w:type="paragraph" w:styleId="4">
    <w:name w:val="Balloon Text"/>
    <w:basedOn w:val="1"/>
    <w:link w:val="20"/>
    <w:qFormat/>
    <w:locked/>
    <w:uiPriority w:val="0"/>
    <w:rPr>
      <w:sz w:val="18"/>
      <w:szCs w:val="18"/>
    </w:rPr>
  </w:style>
  <w:style w:type="paragraph" w:styleId="5">
    <w:name w:val="footer"/>
    <w:basedOn w:val="1"/>
    <w:qFormat/>
    <w:lock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locked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TML Preformatted"/>
    <w:basedOn w:val="1"/>
    <w:qFormat/>
    <w:locked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paragraph" w:styleId="8">
    <w:name w:val="Normal (Web)"/>
    <w:basedOn w:val="1"/>
    <w:unhideWhenUsed/>
    <w:qFormat/>
    <w:locked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locked/>
    <w:uiPriority w:val="0"/>
    <w:rPr>
      <w:b/>
    </w:rPr>
  </w:style>
  <w:style w:type="character" w:styleId="13">
    <w:name w:val="Emphasis"/>
    <w:basedOn w:val="11"/>
    <w:qFormat/>
    <w:locked/>
    <w:uiPriority w:val="0"/>
    <w:rPr>
      <w:i/>
    </w:rPr>
  </w:style>
  <w:style w:type="paragraph" w:customStyle="1" w:styleId="14">
    <w:name w:val="样式1"/>
    <w:basedOn w:val="1"/>
    <w:qFormat/>
    <w:uiPriority w:val="0"/>
  </w:style>
  <w:style w:type="paragraph" w:customStyle="1" w:styleId="15">
    <w:name w:val="样式2"/>
    <w:basedOn w:val="1"/>
    <w:link w:val="16"/>
    <w:qFormat/>
    <w:uiPriority w:val="0"/>
    <w:rPr>
      <w:b/>
      <w:color w:val="E60012"/>
    </w:rPr>
  </w:style>
  <w:style w:type="character" w:customStyle="1" w:styleId="16">
    <w:name w:val="样式2 Char"/>
    <w:link w:val="15"/>
    <w:qFormat/>
    <w:uiPriority w:val="0"/>
    <w:rPr>
      <w:rFonts w:asciiTheme="minorHAnsi" w:hAnsiTheme="minorHAnsi"/>
      <w:b/>
      <w:color w:val="E60012"/>
    </w:rPr>
  </w:style>
  <w:style w:type="paragraph" w:customStyle="1" w:styleId="17">
    <w:name w:val="样式3"/>
    <w:basedOn w:val="1"/>
    <w:qFormat/>
    <w:uiPriority w:val="0"/>
  </w:style>
  <w:style w:type="paragraph" w:styleId="18">
    <w:name w:val="List Paragraph"/>
    <w:basedOn w:val="1"/>
    <w:qFormat/>
    <w:uiPriority w:val="34"/>
    <w:pPr>
      <w:spacing w:line="360" w:lineRule="auto"/>
      <w:ind w:left="200" w:leftChars="200" w:firstLine="420" w:firstLineChars="200"/>
    </w:pPr>
    <w:rPr>
      <w:rFonts w:ascii="Calibri" w:hAnsi="Calibri" w:eastAsia="宋体"/>
      <w:szCs w:val="22"/>
    </w:rPr>
  </w:style>
  <w:style w:type="paragraph" w:customStyle="1" w:styleId="19">
    <w:name w:val="列出段落2"/>
    <w:basedOn w:val="1"/>
    <w:unhideWhenUsed/>
    <w:qFormat/>
    <w:uiPriority w:val="99"/>
    <w:pPr>
      <w:ind w:firstLine="420" w:firstLineChars="200"/>
    </w:pPr>
  </w:style>
  <w:style w:type="character" w:customStyle="1" w:styleId="20">
    <w:name w:val="批注框文本 Char"/>
    <w:basedOn w:val="11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3460</Words>
  <Characters>3752</Characters>
  <Lines>47</Lines>
  <Paragraphs>13</Paragraphs>
  <TotalTime>1</TotalTime>
  <ScaleCrop>false</ScaleCrop>
  <LinksUpToDate>false</LinksUpToDate>
  <CharactersWithSpaces>3847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2025-11-27T00:57:00Z</dcterms:created>
  <dc:creator>所以</dc:creator>
  <cp:lastModifiedBy>张奥</cp:lastModifiedBy>
  <cp:lastPrinted>2025-11-27T00:46:00Z</cp:lastPrinted>
  <dcterms:modified xsi:type="dcterms:W3CDTF">2026-10-28T02:54:22Z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8E460187DE8C4334AF237C7E45049AFF_13</vt:lpwstr>
  </property>
  <property fmtid="{D5CDD505-2E9C-101B-9397-08002B2CF9AE}" pid="4" name="KSOTemplateDocerSaveRecord">
    <vt:lpwstr>eyJoZGlkIjoiZWY5ZjYzMjE4OTMxZWZlYjBlMjNhMDkyMGYwYjRmNDYiLCJ1c2VySWQiOiI0MDUyMTA4MjAifQ==</vt:lpwstr>
  </property>
</Properties>
</file>